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22 100 vom 7. August 2024</w:t>
      </w:r>
    </w:p>
    <w:p>
      <w:r>
        <w:t>VS Kantonsgericht, 2024-08-07, FR</w:t>
      </w:r>
    </w:p>
    <w:p>
      <w:r>
        <w:rPr>
          <w:b/>
        </w:rPr>
        <w:t xml:space="preserve">Quelle: </w:t>
      </w:r>
      <w:r>
        <w:t>https://mcp.opencaselaw.ch/entscheid/vs_gerichte_S1 22 100</w:t>
      </w:r>
    </w:p>
    <w:p>
      <w:r>
        <w:t>FR: VS_GERICHTE S1 22 100 du 7 août 2024</w:t>
      </w:r>
    </w:p>
    <w:p>
      <w:r>
        <w:t>IT: VS_GERICHTE S1 22 100 del 7 agosto 2024</w:t>
      </w:r>
    </w:p>
    <w:p>
      <w:pPr>
        <w:pStyle w:val="Heading2"/>
      </w:pPr>
      <w:r>
        <w:t>Regeste</w:t>
      </w:r>
    </w:p>
    <w:p>
      <w:r>
        <w:t>S1 22 100 ARRET DU 7 AOÛT 2024 Tribunal cantonal du Valais Cour des assurances sociales Composition : Candido Prada, président ; Dr. Thierry Schnyder et Christophe Joris, juges ; Anaïs Mottiez, greffière en la cause X _________, recourante, représentée par Maître Didier Elsig, avocat, Lausanne contre OFFICE CANTONAL AI DU VALAIS, intimé (art. 28 et 28a LAI ; méthode mixte ; valeur probante d’une expertise psychiatrique)</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23 juin 2022, le recours à l’encontre de la décision du 23 mai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2.1</w:t>
      </w:r>
    </w:p>
    <w:p>
      <w:r>
        <w:t>Le litige porte sur le refus de l’OAI d’octroyer tout droit à des prestations AI (mesures d’ordre professionnel, rente d’invalidité, indemnités journalières) à la recourante.</w:t>
      </w:r>
    </w:p>
    <w:p>
      <w:r>
        <w:rPr>
          <w:b/>
        </w:rPr>
        <w:t>E. 3</w:t>
      </w:r>
    </w:p>
    <w:p>
      <w:r>
        <w:t>LAI ; ATF 137 V 334, 130 V 393 et 125 V 146). Pour déterminer la méthode applicable au cas particulier, il faut non pas, malgré la teneur de l'article 8 alinéa 3 LPGA, chercher à savoir dans quelle mesure l'exercice d'une activité lucrative aurait été exigible de la part de l'assuré, mais se demander ce que l'assuré aurait fait si l'atteinte à la santé n'était pas survenue (ATF 133 V 504 consid. 3.3).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w:t>
      </w:r>
    </w:p>
    <w:p>
      <w:r>
        <w:t>- 7 -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(arrêt du Tribunal fédéral 9C_64/2012 du 11 juillet 2012 consid. 5.2 in fine et la référence citée).</w:t>
      </w:r>
    </w:p>
    <w:p>
      <w:r>
        <w:rPr>
          <w:b/>
        </w:rPr>
        <w:t>E. 3.1</w:t>
      </w:r>
    </w:p>
    <w:p>
      <w:r>
        <w:t>Dans un premier grief, l’intéressée reproche à l’intimé d’avoir choisi la mauvaise méthode d’évaluation de son taux d’invalidité.</w:t>
      </w:r>
    </w:p>
    <w:p>
      <w:r>
        <w:t>- 6 -</w:t>
      </w:r>
    </w:p>
    <w:p>
      <w:r>
        <w:rPr>
          <w:b/>
        </w:rPr>
        <w:t>E. 3.2</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sont reconnues l’existence d’une incapacité de travail d’au moins 40 % en moyenne durant une année et la présence d’une invalidité de 40 % au terme de cette année dite d’attente (art. 28 al. 1 let. b et c LAI). Il peut en outre prétendre à une mesure de reclassement s’il est invalide à 20 % environ (ATF 139 V 399 consid. 5.3, 130 V 488 consid. 4.2 et 124 V 108 consid. 2b).</w:t>
      </w:r>
    </w:p>
    <w:p>
      <w:r>
        <w:rPr>
          <w:b/>
        </w:rPr>
        <w:t>E. 3.3</w:t>
      </w:r>
    </w:p>
    <w:p>
      <w:r>
        <w:t>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w:t>
      </w:r>
    </w:p>
    <w:p>
      <w:r>
        <w:rPr>
          <w:b/>
        </w:rPr>
        <w:t>E. 3.4</w:t>
      </w:r>
    </w:p>
    <w:p>
      <w:r>
        <w:t>Pour évaluer l'invalidité des assurés travaillant dans le ménage, l'administration procède en principe à une enquête sur les activités ménagères et fixe l'empêchement dans chacune des activités habituelles conformément à la circulaire concernant l'invalidité et l'impotence de l'assurance-invalidité établie par l'OFAS (CIIAI). La mise en œuvre d’une enquête ménagère en cas de statut mixte n’est toutefois pas imposée par le droit fédéral (arrêt du Tribunal fédéral des assurances I 99/00 du 26 octobre 2000 consid. 3c in VSI 2001 p. 155).</w:t>
      </w:r>
    </w:p>
    <w:p>
      <w:r>
        <w:rPr>
          <w:b/>
        </w:rPr>
        <w:t>E. 3.5</w:t>
      </w:r>
    </w:p>
    <w:p>
      <w:r>
        <w:t>En l’espèce, la recourante conteste l’application de la méthode mixte pour déterminer son taux d’invalidité et fait valoir qu’il conviendrait d’appliquer la méthode ordinaire. Elle allègue qu’en réalité, sans ses problèmes de santé, elle aurait cherché à occuper un poste à temps complet, dans la mesure où le revenu provenant de l’activité d’éducatrice de la petite enfance est modeste. A la lecture du dossier, force est de constater que l’argumentation de la recourante ne peut pas être suivie. En effet, avant même l’apparition des problèmes de santé ayant conduit au dépôt de sa première demande de prestations du 25 septembre 2013, l’intéressée a travaillé à 80% en qualité d’éducatrice de la petite enfance pendant plus d’une dizaine d’années, sans qu’il ne ressorte des pièces au dossier qu’elle ait cherché à augmenter ce taux (cf. pièce OAI 12, p. 27). Après avoir recouvré une pleine capacité de travail au 1er avril 2014, l’intéressée a repris la même activité dans une autre crèche, d’abord pour une durée déterminée dès le 18 août 2014 à un taux de 70%, puis de manière indéterminée dès le 15 août 2016, au même taux, et ce jusqu’au dépôt de sa seconde demande de prestations AI. Partant, il appert que l’assurée n’a jamais occupé ni cherché à occuper un poste à temps complet, malgré un revenu allégué comme étant modeste, si bien qu’il ne saurait être reproché à l’OAI d’avoir appliqué la méthode mixte d’évaluation de l’invalidité. Quant au partage du temps à raison de 70% pour l’exercice d’une activité lucrative et 30% pour l’exécution des tâches ménagères, il n’est pas non plus critiquable, dès lors qu’il correspond à la réalité telle que vécue par la recourante, à tout le moins depuis le mois d’août 2014. Mal fondé, ce grief est rejeté.</w:t>
      </w:r>
    </w:p>
    <w:p>
      <w:r>
        <w:t>- 8 -</w:t>
      </w:r>
    </w:p>
    <w:p>
      <w:r>
        <w:rPr>
          <w:b/>
        </w:rPr>
        <w:t>E. 4.1</w:t>
      </w:r>
    </w:p>
    <w:p>
      <w:r>
        <w:t>Dans un second grief, la recourante conteste la valeur probante de l’expertise psychiatrique du Dr F _________.</w:t>
      </w:r>
    </w:p>
    <w:p>
      <w:r>
        <w:rPr>
          <w:b/>
        </w:rPr>
        <w:t>E. 4.2</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arrêts du Tribunal fédéral 8C_841/2016 du 30 novembre 2017 consid. 4.5.2 et 9C_815/2012 du 12 décembre 2012 consid. 3). En général, toutes affections psychiques doivent faire l’objet d’une procédure probatoire structurée au sens de l’ATF 141 V 281 (ATF 143 V 418), y compris les syndromes de dépendance primaire (ATF 145 V 215) et les troubles dépressifs de degré léger à moyen (ATF 143 V 409 et 418).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4.3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125 V 256 ; 115 V 133 consid. 2 ;</w:t>
      </w:r>
    </w:p>
    <w:p>
      <w:r>
        <w:t>- 9 - 114 V 310 consid. 3c et 105 V 156 consid. 1 ; arrêt du Tribunal fédéral 8C_761/2014 du 15 octobre 2015 consid. 3.4).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L'élément déterminant pour la valeur probante n'est ni l'origine du moyen de preuve ni sa désignation comme rapport ou comme expertise, mais bel et bien son contenu (ATF 143 V 124 consid. 2.2.2 et 125 V 351 consid. 3a ainsi que les références ; VSI 2001 p. 108 consid. 3a).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une telle 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Quant aux médecins traitants qui se concentrent principalement sur la question du traitement médical, leurs rapports n'aboutissent généralement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rPr>
          <w:b/>
        </w:rPr>
        <w:t>E. 4.4</w:t>
      </w:r>
    </w:p>
    <w:p>
      <w:r>
        <w:t>Le juge des assurances sociales fonde sa décision, sauf dispositions contraires de la loi, sur les faits qui, faute d’être établis de manière irréfutable, apparaissent comme</w:t>
      </w:r>
    </w:p>
    <w:p>
      <w:r>
        <w:t>- 10 -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du Tribunal fédéral 9C_298/2020 du 28 septembre 2020 consid. 2.2).</w:t>
      </w:r>
    </w:p>
    <w:p>
      <w:r>
        <w:rPr>
          <w:b/>
        </w:rPr>
        <w:t>E. 4.5</w:t>
      </w:r>
    </w:p>
    <w:p>
      <w:r>
        <w:t>En l’occurrence, l’OAI s’est fondé sur l’avis du Dr F _________, spécialiste FMH en psychiatrie et psychothérapie, pour retenir qu’une pleine capacité de travail avait été recouvrée par la recourante, dans son activité habituelle, dès le 1er mars 2022. Cette dernière considère quant à elle cette expertise comme simpliste et en contradiction totale avec l’avis de la psychologue E _________ et du Dr G _________, dont elle se prévaut, selon lesquels une augmentation de la capacité de travail pourrait être envisagée à partir de la fin du mois de février 2022, d’abord à 20% puis progressivement jusqu’à 70% dès le 11 avril 2022.</w:t>
      </w:r>
    </w:p>
    <w:p>
      <w:r>
        <w:rPr>
          <w:b/>
        </w:rPr>
        <w:t>E. 4.5.1</w:t>
      </w:r>
    </w:p>
    <w:p>
      <w:r>
        <w:t>A la lecture de l’expertise psychiatrique du Dr F _________ du 23 novembre 2021, force est de constater que celle-ci répond entièrement aux conditions jurisprudentielles pour lui reconnaître une pleine valeur probante. En particulier, l’expert a repris les différents avis médicaux figurant au dossier, puis a établi une anamnèse, avant de décrire de manière détaillée les plaintes de la recourante et sa journée type. Il a ensuite procédé à un examen clinique complet permettant d’arrêter un diagnostic sur la base de constatations objectives. Enfin, les conclusions de l’expert ont été énoncées de manière motivée et cohérente (cf expertise du 23 novembre 2021, pièce OAI 85 p. 394 ss). A l’examen des indicateurs appartenant à la catégorie « degré de gravité fonctionnel », formant le socle de base (ATF 141 V 281 consid. 4.3), l’on observe que l’expert psychiatre a analysé les critères de gravité conformément aux réquisits jurisprudentiels. Il a d’abord dûment motivé les diagnostics qu’il a retenus (thymie légèrement abaissée, sauf lorsque l’assurée évoque les difficultés professionnelles et personnelles selon l’anamnèse, moment où elle montre une tristesse significative, estime de soi abaissée avec autodévalorisation et idées de culpabilité, propos à tonalité suicidaire, signes physiques de fatigue avec des traits du visage marqués avec ralentissement psychomoteur, préoccupations et soucis relatifs à son avenir professionnel et concernant ses proches). L’expert a ensuite indiqué que de nombreuses ressources avaient été</w:t>
      </w:r>
    </w:p>
    <w:p>
      <w:r>
        <w:t>- 11 - conservées par la recourante (capacité d’assumer la plupart des tâches ménagères [ménage, repassage et course], hygiène personnelle correcte, capacité de préparer les repas, intérêts et loisirs peu restreints [promenade avec une amie, jardinage, préparation de confitures maison, décoration, randonnées en montagne, lecture d’articles sur internet, vision de films, séries et émissions à la télévision, pêche avec son frère, rencontre d’amis et de la famille), ce qui n’a d’ailleurs aucunement été remis en cause par l’intéressée. Sous l’angle de l’examen de la catégorie « cohérence » (ATF 141 V 281 consid. 4.4), l’on note que l’expert a estimé qu’il n’existait aucune limitation fonctionnelle dans l’activité professionnelle habituelle, si ce n’est celle de changer d’employeur. Il est relevé à cet égard les ressources importantes ayant été conservées, relevées ci-dessus, et permettant à la recourante de maintenir différentes activités telles que décrites dans le déroulement de sa journée type (l’assurée fait du sport, s’occupe de son ménage, voit régulièrement ses proches, se déplace en voiture et en transports publics et a également pu se rendre seule à l’expertise durant laquelle elle a fait preuve d’une concentration soutenue sans difficultés). L’expert a en outre indiqué que l’examen n’avait pas mis en évidence de divergences ou de contradictions entre les plaintes de l’intéressée, les données de la vie quotidienne et ses constatations objectives et que les limitations d’activité étaient uniformes dans tous les domaines de la vie.</w:t>
      </w:r>
    </w:p>
    <w:p>
      <w:r>
        <w:rPr>
          <w:b/>
        </w:rPr>
        <w:t>E. 4.5.2</w:t>
      </w:r>
    </w:p>
    <w:p>
      <w:r>
        <w:t>La recourant se prévaut quant à elle de l’avis de sa psychologue traitante, Madame E _________, et du Dr G _________, psychologue et psychothérapeute FSP. Ceux-ci ont attesté, le 26 novembre 2021, d’une incapacité totale de travail jusqu’à la fin du mois de février 2022 et ont posé les diagnostics incapacitants suivants : trouble de l’adaptation avec perturbation mixte des émotions et des conduites (F43.25), trouble anxieux généralisé (F41.1), trouble obsessionnel-compulsif, avec bon insight (TOC modéré, F42), et personnalité évitante (F60.6). Ils ont ajouté que dès le 1er mars 2022, une augmentation de la capacité de travail était possible, d’abord à 20% puis progressivement jusqu’à 70% dès le 11 avril 2022, indiquant que le travail dans le domaine de la petite enfance était incertain et qu’il serait opportun d’envisager une reconversion professionnelle dans un autre domaine (cf. pièce OAI 85 p. 390 ss). L’avis de ces psychologues traitants est toutefois insuffisant pour mettre en doute les conclusions de l’expert psychiatre. En effet, il a été démontré ci-dessus (cf. supra consid. 4.5.1) que l’expertise psychiatrique respectait en tous points les exigences jurisprudentielles et bénéficiait d’une pleine valeur probante. Or, il ne se justifie de s’écarter d’une expertise que si celle-ci contient des contradictions manifestes ou ignore</w:t>
      </w:r>
    </w:p>
    <w:p>
      <w:r>
        <w:t>- 12 - des éléments essentiels, le simple fait qu’un ou plusieurs avis médicaux divergeants aient été produits ne suffisant pas à remettre en cause la valeur probante d’une expertise médicale. Ainsi, à lui seul, l’avis des psychologues E _________ et G _________, lesquels ne sont au demeurant pas spécialistes FMH en psychiatrie et psychothérapie, ne suffit pas à remettre en cause les conclusions du Dr F _________. Cela vaut d’autant plus que les conclusions des psychologues E _________ et G _________ ne s’écartent – contrairement à ce qu’allègue la recourante – pas diamétralement de celles de l’expert, puisque ceux-ci ont également retenu que l’incapacité totale de l’intéressée prenait fin au 28 février 2022, seule l’estimation du taux d’activité exigible dès le 1er mars 2022 différant. La Cour rappelle à cet égard que selon la jurisprudence relative aux rapports émanant des médecins traitants (cf. supra consid. 4.3), ces derniers ont tendance à se prononcer en cas de doute plutôt en faveur de leurs patients et que leurs rapports n'aboutissent généralement pas à une appréciation objective de l'état de santé permettant de trancher la question des prestations d'assurance de façon concluante, de sorte qu’ils ne sauraient à eux seuls prévaloir.</w:t>
      </w:r>
    </w:p>
    <w:p>
      <w:r>
        <w:rPr>
          <w:b/>
        </w:rPr>
        <w:t>E. 4.5.3</w:t>
      </w:r>
    </w:p>
    <w:p>
      <w:r>
        <w:t>Fondé sur les éléments qui précèdent, il n’existe aucun motif susceptible de mettre en doute la valeur probante de l’expertise du Dr F _________. Le dossier est en outre suffisamment complet pour qu’un jugement valable puisse être rendu sur la base de celui-ci, sans qu’il ne soit nécessaire d’ordonner l’administration d’un autre moyen de preuve, à l’instar d’une nouvelle expertise indépendante. Dans ces circonstances, l’intimé pouvait à bon droit refuser à la recourante toutes prestations AI. De plus, dès lors que celle-ci avait recouvré une pleine capacité de travail dans son activité habituelle dès le 1er mars 2022 (100% de 70%), soit avant l’échéance du délai d’attente d’une année, il ne se justifiait pas de procéder à un calcul d’invalidité, de sorte qu’il n’y a pas lieu de traiter plus avant ce grief. La recourante ne présentant pas d’invalidité, elle n’a au surplus pas droit à des mesures de réadaptation.</w:t>
      </w:r>
    </w:p>
    <w:p>
      <w:r>
        <w:rPr>
          <w:b/>
        </w:rPr>
        <w:t>E. 5.1</w:t>
      </w:r>
    </w:p>
    <w:p>
      <w:r>
        <w:t>Les frais, par 500 fr., sont mis à la charge de la recourante qui succombe (art. 69 al. 1 bis LAI) et compensés avec l’avance effectuée.</w:t>
      </w:r>
    </w:p>
    <w:p>
      <w:r>
        <w:rPr>
          <w:b/>
        </w:rPr>
        <w:t>E. 5.2</w:t>
      </w:r>
    </w:p>
    <w:p>
      <w:r>
        <w:t>La recourante n’ayant pas eu gain de cause, aucun dépens ne lui est alloué (art. 61 let. g LPGA a contrario), ni d’ailleurs à l’OAI (art. 91 al. 3 LPJA).</w:t>
      </w:r>
    </w:p>
    <w:p>
      <w:r>
        <w:t>- 13 - Prononce</w:t>
      </w:r>
    </w:p>
    <w:p>
      <w:r>
        <w:t>1. Le recours est rejeté. 2. Les frais, par 500 francs, sont mis à la charge de X _________. 3. Il n’est pas alloué de dépens. Sion, le 7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